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50" w:rsidRPr="000A529F" w:rsidRDefault="00947C50" w:rsidP="00947C50">
      <w:pPr>
        <w:pStyle w:val="Heading3"/>
        <w:numPr>
          <w:ilvl w:val="0"/>
          <w:numId w:val="0"/>
        </w:numPr>
        <w:rPr>
          <w:rFonts w:eastAsia="Malgun Gothic"/>
          <w:b/>
        </w:rPr>
      </w:pPr>
      <w:r>
        <w:rPr>
          <w:b/>
          <w:sz w:val="28"/>
          <w:szCs w:val="28"/>
        </w:rPr>
        <w:t xml:space="preserve">7.17.44 – </w:t>
      </w:r>
      <w:r w:rsidRPr="000A529F">
        <w:rPr>
          <w:b/>
          <w:sz w:val="28"/>
          <w:szCs w:val="28"/>
        </w:rPr>
        <w:t xml:space="preserve">Annex </w:t>
      </w:r>
      <w:proofErr w:type="gramStart"/>
      <w:r w:rsidRPr="000A529F">
        <w:rPr>
          <w:b/>
          <w:sz w:val="28"/>
          <w:szCs w:val="28"/>
        </w:rPr>
        <w:t xml:space="preserve">B  </w:t>
      </w:r>
      <w:r w:rsidRPr="000A529F">
        <w:rPr>
          <w:rFonts w:eastAsia="Malgun Gothic"/>
          <w:b/>
        </w:rPr>
        <w:t>Template</w:t>
      </w:r>
      <w:proofErr w:type="gramEnd"/>
      <w:r w:rsidRPr="000A529F">
        <w:rPr>
          <w:rFonts w:eastAsia="Malgun Gothic"/>
          <w:b/>
        </w:rPr>
        <w:t xml:space="preserve"> Mobilisation Plan for Practice Merger </w:t>
      </w:r>
    </w:p>
    <w:p w:rsidR="00947C50" w:rsidRDefault="00947C50"/>
    <w:tbl>
      <w:tblPr>
        <w:tblW w:w="15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1"/>
        <w:gridCol w:w="3217"/>
        <w:gridCol w:w="1177"/>
        <w:gridCol w:w="1559"/>
        <w:gridCol w:w="4595"/>
        <w:gridCol w:w="1926"/>
        <w:gridCol w:w="1325"/>
      </w:tblGrid>
      <w:tr w:rsidR="00947C50" w:rsidRPr="00947C50" w:rsidTr="00947C50">
        <w:trPr>
          <w:trHeight w:val="476"/>
          <w:tblHeader/>
        </w:trPr>
        <w:tc>
          <w:tcPr>
            <w:tcW w:w="1211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Area</w:t>
            </w:r>
          </w:p>
        </w:tc>
        <w:tc>
          <w:tcPr>
            <w:tcW w:w="3217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Action Required</w:t>
            </w:r>
          </w:p>
        </w:tc>
        <w:tc>
          <w:tcPr>
            <w:tcW w:w="1177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Due Date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Who</w:t>
            </w:r>
          </w:p>
        </w:tc>
        <w:tc>
          <w:tcPr>
            <w:tcW w:w="4595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Comments/issues</w:t>
            </w:r>
          </w:p>
        </w:tc>
        <w:tc>
          <w:tcPr>
            <w:tcW w:w="1926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Key Contacts</w:t>
            </w:r>
          </w:p>
        </w:tc>
        <w:tc>
          <w:tcPr>
            <w:tcW w:w="1325" w:type="dxa"/>
            <w:shd w:val="clear" w:color="auto" w:fill="99CCFF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Status</w:t>
            </w:r>
          </w:p>
        </w:tc>
      </w:tr>
      <w:tr w:rsidR="00947C50" w:rsidRPr="00947C50" w:rsidTr="00947C50">
        <w:tc>
          <w:tcPr>
            <w:tcW w:w="15010" w:type="dxa"/>
            <w:gridSpan w:val="7"/>
            <w:shd w:val="clear" w:color="auto" w:fill="E0E0E0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>1. Patients</w:t>
            </w:r>
          </w:p>
        </w:tc>
      </w:tr>
      <w:tr w:rsidR="00947C50" w:rsidRPr="00947C50" w:rsidTr="00947C50"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1.1 Communication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Draft letter for patients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Letters to include details of:</w:t>
            </w:r>
          </w:p>
          <w:p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Neighbouring practices,</w:t>
            </w:r>
          </w:p>
          <w:p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PALS / Health Watch</w:t>
            </w:r>
          </w:p>
          <w:p w:rsidR="00947C50" w:rsidRPr="00947C50" w:rsidRDefault="00947C50" w:rsidP="00947C50">
            <w:pPr>
              <w:numPr>
                <w:ilvl w:val="0"/>
                <w:numId w:val="6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FAQs such as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Next steps, 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details of new practice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Background new practice - Introduction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Prescriptions</w:t>
            </w:r>
          </w:p>
          <w:p w:rsidR="00947C50" w:rsidRPr="00947C50" w:rsidRDefault="00947C50" w:rsidP="00947C50">
            <w:pPr>
              <w:numPr>
                <w:ilvl w:val="1"/>
                <w:numId w:val="6"/>
              </w:numPr>
              <w:spacing w:before="120" w:after="120"/>
              <w:ind w:hanging="65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Referrals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Distribution of letter to patients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to arrange distribution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Telephone message to be put onto practice telephone.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Notice on doors &amp; local pharmacy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eastAsia="Times New Roman" w:hAnsi="Arial" w:cs="Arial"/>
                <w:bCs/>
                <w:sz w:val="20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Consider welcome message / patient group work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 to consider:</w:t>
            </w:r>
          </w:p>
          <w:p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Patient group invite</w:t>
            </w:r>
          </w:p>
          <w:p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Welcome Leaflet</w:t>
            </w:r>
          </w:p>
          <w:p w:rsidR="00947C50" w:rsidRPr="00947C50" w:rsidRDefault="00947C50" w:rsidP="00947C50">
            <w:pPr>
              <w:numPr>
                <w:ilvl w:val="0"/>
                <w:numId w:val="1"/>
              </w:num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7C5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Poster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9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1.2 Records  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Medical records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8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1.3  Clinical Overview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Share Plan with Medical Director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260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911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2.1 Communication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Inform staff of current situation and options.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260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2204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numPr>
                <w:ilvl w:val="1"/>
                <w:numId w:val="2"/>
              </w:numPr>
              <w:spacing w:before="120" w:after="120"/>
              <w:ind w:left="47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Lease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Ensure premises lease are in place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376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numPr>
                <w:ilvl w:val="1"/>
                <w:numId w:val="5"/>
              </w:numPr>
              <w:spacing w:before="120" w:after="120"/>
              <w:ind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IT  Plan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IT Plan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4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984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47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4.2 BSU Transfer of Patients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3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BSU/ LASCA – merger of registered patients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need to confirm pooled list or GP List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Update practice information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Agreed dates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068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 OTMG / RRMG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Letter to Practice 3</w:t>
            </w:r>
            <w:r w:rsidRPr="00947C50">
              <w:rPr>
                <w:rFonts w:ascii="Arial" w:eastAsia="Times New Roman" w:hAnsi="Arial" w:cs="Arial"/>
                <w:b/>
                <w:bCs/>
                <w:sz w:val="24"/>
                <w:szCs w:val="26"/>
              </w:rPr>
              <w:t xml:space="preserve"> 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to confirm approval for merger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???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268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5.2 Practices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Letter/email to neighbouring practices to inform of merger confirmation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697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5.3  Overview and Scrutiny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Liaise with overview and scrutiny to confirm merger date.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69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5.4 LMC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Communication with LMC to confirm merger date.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491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5.5 PCT comms team 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Email to comms to inform them of potential media interest 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5.6 FT/ s Provider arm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ind w:left="16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District Nurses/Health Visitors to be notified to liaise with patients on caseload.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Palliative care manager to be informed to liaise with nurses.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Common Mental Illness – all mental health workers to be notified and liaise with patients.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Severe and Enduring Mental Health 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Mental Health Trust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Midwifery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Business Managers at FT’s to be informed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Patients Discharged from Hospital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Hospitals and Trust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Mental health trust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Ambulance Service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99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5.7 PALS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Inform PALS and complaints of merger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Inform of contact details for practice 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659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5.8 BSU</w:t>
            </w:r>
          </w:p>
          <w:p w:rsidR="00947C50" w:rsidRPr="00947C50" w:rsidRDefault="00947C50" w:rsidP="00947C50">
            <w:pPr>
              <w:spacing w:before="120" w:after="120"/>
              <w:ind w:left="360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to update lists/practice information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370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Inform courier services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7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5.9 CCG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Email to CCG to cascade to Directors.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7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5.10 OOH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Need to notify OOH - NHS111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72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5.11 Regional Team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Notify directors of regional NHS England team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5.12 Notify other agencies 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Pharmacies</w:t>
            </w:r>
          </w:p>
        </w:tc>
        <w:tc>
          <w:tcPr>
            <w:tcW w:w="1177" w:type="dxa"/>
            <w:vMerge w:val="restart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Merge w:val="restart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Local Hospitals</w:t>
            </w:r>
          </w:p>
        </w:tc>
        <w:tc>
          <w:tcPr>
            <w:tcW w:w="1177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Business Services agency (BSA) </w:t>
            </w:r>
          </w:p>
        </w:tc>
        <w:tc>
          <w:tcPr>
            <w:tcW w:w="1177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SHA</w:t>
            </w:r>
          </w:p>
        </w:tc>
        <w:tc>
          <w:tcPr>
            <w:tcW w:w="1177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4595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6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6.1 Contract</w:t>
            </w:r>
          </w:p>
          <w:p w:rsidR="00947C50" w:rsidRPr="00947C50" w:rsidRDefault="00947C50" w:rsidP="00947C50">
            <w:pPr>
              <w:spacing w:before="120" w:after="120"/>
              <w:ind w:left="360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Need to prepare contract schedule to reflect contract termination / merger contract value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Finance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Finance to prepare and agree sign off with practice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Capitation list size 31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  <w:vertAlign w:val="superscript"/>
              </w:rPr>
              <w:t>st</w:t>
            </w: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 March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070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6.2 Exeter / QMAS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Administer closure of contract on Exeter system/QMAS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070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Practice to print off copy of population manager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976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6.3 Bank Accounts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Payments and recoveries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To confirm:</w:t>
            </w:r>
          </w:p>
          <w:p w:rsidR="00947C50" w:rsidRPr="00947C50" w:rsidRDefault="00947C50" w:rsidP="00947C50">
            <w:pPr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New / same bank accounts</w:t>
            </w:r>
          </w:p>
          <w:p w:rsidR="00947C50" w:rsidRPr="00947C50" w:rsidRDefault="00947C50" w:rsidP="00947C50">
            <w:pPr>
              <w:numPr>
                <w:ilvl w:val="0"/>
                <w:numId w:val="7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If new bank account confirm term for old account staying open for payments and recoveries 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328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739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7.1 Contractual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Contract Variation to add all Partners to contract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Date to be confirmed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559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Confirm Practice agreement in place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 / 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437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Termination notice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667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Confirmation of provider name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To confirm if name is staying the same or changing 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080"/>
        </w:trPr>
        <w:tc>
          <w:tcPr>
            <w:tcW w:w="1211" w:type="dxa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7.2 BSU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BSU/LASCA to add end date to the Exeter contract and transfer patients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Commissioner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BSU to update contract details and transfer patients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391"/>
        </w:trPr>
        <w:tc>
          <w:tcPr>
            <w:tcW w:w="15010" w:type="dxa"/>
            <w:gridSpan w:val="7"/>
            <w:shd w:val="clear" w:color="auto" w:fill="D9D9D9"/>
            <w:vAlign w:val="center"/>
          </w:tcPr>
          <w:p w:rsidR="00947C50" w:rsidRPr="00947C50" w:rsidRDefault="00947C50" w:rsidP="00947C50">
            <w:pPr>
              <w:numPr>
                <w:ilvl w:val="0"/>
                <w:numId w:val="5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ACTIONS FROM PATIENT ENGAGEMENT</w:t>
            </w:r>
          </w:p>
        </w:tc>
      </w:tr>
      <w:tr w:rsidR="00947C50" w:rsidRPr="00947C50" w:rsidTr="00947C50">
        <w:trPr>
          <w:trHeight w:val="1144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8.1 Appointments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Capacity of appointments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Two new GPs appointed at Practice 1;</w:t>
            </w:r>
          </w:p>
          <w:p w:rsidR="00947C50" w:rsidRPr="00947C50" w:rsidRDefault="00947C50" w:rsidP="00947C50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existing clinics to be reviewed to consider better allocation across the two sites;</w:t>
            </w:r>
          </w:p>
          <w:p w:rsidR="00947C50" w:rsidRPr="00947C50" w:rsidRDefault="00947C50" w:rsidP="00947C50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cross site working to be implemented for clinicians, and;</w:t>
            </w:r>
          </w:p>
          <w:p w:rsidR="00947C50" w:rsidRPr="00947C50" w:rsidRDefault="00947C50" w:rsidP="00947C50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structural changes to be made at Practice 2 site to accommodate more clinical sessions to increase appointment availability.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44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Continuity of GP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10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practices have discussed with patients that they will still be able to see their doctor although it may be at either Practice 1 or Practice 2.  The practice will monitor continuity of care throughout the merger. 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654"/>
        </w:trPr>
        <w:tc>
          <w:tcPr>
            <w:tcW w:w="1211" w:type="dxa"/>
            <w:vMerge w:val="restart"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8.2 Adequate facilities </w:t>
            </w:r>
          </w:p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Telephone System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9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 has informed patients that there will be one improved telephone system which will be based at Practice 1 with multiple lines to improve access to the practice.  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888"/>
        </w:trPr>
        <w:tc>
          <w:tcPr>
            <w:tcW w:w="1211" w:type="dxa"/>
            <w:vMerge/>
            <w:textDirection w:val="btLr"/>
            <w:vAlign w:val="center"/>
          </w:tcPr>
          <w:p w:rsidR="00947C50" w:rsidRPr="00947C50" w:rsidRDefault="00947C50" w:rsidP="00947C50">
            <w:pPr>
              <w:spacing w:before="120" w:after="120"/>
              <w:ind w:left="113" w:right="113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Capacity of waiting room 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existing clinics to be reviewed to consider better allocation across the two sites;</w:t>
            </w:r>
          </w:p>
          <w:p w:rsidR="00947C50" w:rsidRPr="00947C50" w:rsidRDefault="00947C50" w:rsidP="00947C50">
            <w:pPr>
              <w:numPr>
                <w:ilvl w:val="0"/>
                <w:numId w:val="8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Following merger cross site working to be implemented for clinicians,</w:t>
            </w: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  <w:tr w:rsidR="00947C50" w:rsidRPr="00947C50" w:rsidTr="00947C50">
        <w:trPr>
          <w:trHeight w:val="1144"/>
        </w:trPr>
        <w:tc>
          <w:tcPr>
            <w:tcW w:w="1211" w:type="dxa"/>
            <w:textDirection w:val="btLr"/>
          </w:tcPr>
          <w:p w:rsidR="00947C50" w:rsidRPr="00947C50" w:rsidRDefault="00947C50" w:rsidP="00947C50">
            <w:pPr>
              <w:spacing w:before="120" w:after="120"/>
              <w:ind w:left="113" w:right="113"/>
              <w:jc w:val="center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8.3 Staffing</w:t>
            </w:r>
          </w:p>
        </w:tc>
        <w:tc>
          <w:tcPr>
            <w:tcW w:w="321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Concerns for staff</w:t>
            </w:r>
          </w:p>
        </w:tc>
        <w:tc>
          <w:tcPr>
            <w:tcW w:w="1177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>Practice</w:t>
            </w:r>
          </w:p>
        </w:tc>
        <w:tc>
          <w:tcPr>
            <w:tcW w:w="4595" w:type="dxa"/>
            <w:vAlign w:val="center"/>
          </w:tcPr>
          <w:p w:rsidR="00947C50" w:rsidRPr="00947C50" w:rsidRDefault="00947C50" w:rsidP="00947C50">
            <w:pPr>
              <w:numPr>
                <w:ilvl w:val="0"/>
                <w:numId w:val="11"/>
              </w:num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  <w:r w:rsidRPr="00947C50">
              <w:rPr>
                <w:rFonts w:ascii="Arial" w:eastAsia="Times New Roman" w:hAnsi="Arial" w:cs="Arial"/>
                <w:bCs/>
                <w:sz w:val="24"/>
                <w:szCs w:val="26"/>
              </w:rPr>
              <w:t xml:space="preserve">The practice have informed patients that the merger will be a significant change for all, we plan to work will all of the staff to ensure a smooth positive change with benefits for our staff and patients. </w:t>
            </w:r>
          </w:p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926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  <w:tc>
          <w:tcPr>
            <w:tcW w:w="1325" w:type="dxa"/>
            <w:vAlign w:val="center"/>
          </w:tcPr>
          <w:p w:rsidR="00947C50" w:rsidRPr="00947C50" w:rsidRDefault="00947C50" w:rsidP="00947C50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6"/>
              </w:rPr>
            </w:pPr>
          </w:p>
        </w:tc>
      </w:tr>
    </w:tbl>
    <w:p w:rsidR="00D2468D" w:rsidRDefault="00D2468D"/>
    <w:sectPr w:rsidR="00D2468D" w:rsidSect="00947C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C58"/>
    <w:multiLevelType w:val="hybridMultilevel"/>
    <w:tmpl w:val="1E40BD72"/>
    <w:lvl w:ilvl="0" w:tplc="BC1891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CF1BDB"/>
    <w:multiLevelType w:val="hybridMultilevel"/>
    <w:tmpl w:val="50CE4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E51193"/>
    <w:multiLevelType w:val="hybridMultilevel"/>
    <w:tmpl w:val="D624C9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6F12CB"/>
    <w:multiLevelType w:val="hybridMultilevel"/>
    <w:tmpl w:val="67EA0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E0BD9"/>
    <w:multiLevelType w:val="multilevel"/>
    <w:tmpl w:val="02BC462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  <w:b w:val="0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24FE6B44"/>
    <w:multiLevelType w:val="hybridMultilevel"/>
    <w:tmpl w:val="A8821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215A43"/>
    <w:multiLevelType w:val="multilevel"/>
    <w:tmpl w:val="0D9688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A0D421A"/>
    <w:multiLevelType w:val="multilevel"/>
    <w:tmpl w:val="1DDE3E30"/>
    <w:lvl w:ilvl="0">
      <w:start w:val="4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5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1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99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1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0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3" w:hanging="1800"/>
      </w:pPr>
      <w:rPr>
        <w:rFonts w:cs="Times New Roman" w:hint="default"/>
      </w:rPr>
    </w:lvl>
  </w:abstractNum>
  <w:abstractNum w:abstractNumId="8">
    <w:nsid w:val="4A776D0F"/>
    <w:multiLevelType w:val="hybridMultilevel"/>
    <w:tmpl w:val="4C9209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A949FB"/>
    <w:multiLevelType w:val="hybridMultilevel"/>
    <w:tmpl w:val="BE0C7926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05E048F"/>
    <w:multiLevelType w:val="hybridMultilevel"/>
    <w:tmpl w:val="0C709D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F95B16"/>
    <w:multiLevelType w:val="hybridMultilevel"/>
    <w:tmpl w:val="2C644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50"/>
    <w:rsid w:val="00947C50"/>
    <w:rsid w:val="0098699D"/>
    <w:rsid w:val="00D05F63"/>
    <w:rsid w:val="00D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C50"/>
    <w:pPr>
      <w:numPr>
        <w:numId w:val="12"/>
      </w:numPr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7C50"/>
    <w:pPr>
      <w:numPr>
        <w:ilvl w:val="1"/>
        <w:numId w:val="12"/>
      </w:numPr>
      <w:spacing w:line="360" w:lineRule="auto"/>
      <w:outlineLvl w:val="1"/>
    </w:pPr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47C50"/>
    <w:pPr>
      <w:numPr>
        <w:ilvl w:val="2"/>
        <w:numId w:val="12"/>
      </w:numPr>
      <w:spacing w:line="360" w:lineRule="auto"/>
      <w:outlineLvl w:val="2"/>
    </w:pPr>
    <w:rPr>
      <w:rFonts w:ascii="Arial" w:eastAsia="Times New Roman" w:hAnsi="Arial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47C50"/>
    <w:pPr>
      <w:keepNext/>
      <w:keepLines/>
      <w:numPr>
        <w:ilvl w:val="3"/>
        <w:numId w:val="12"/>
      </w:numPr>
      <w:spacing w:before="200" w:line="360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47C50"/>
    <w:pPr>
      <w:keepNext/>
      <w:keepLines/>
      <w:numPr>
        <w:ilvl w:val="4"/>
        <w:numId w:val="12"/>
      </w:numPr>
      <w:spacing w:before="200" w:line="360" w:lineRule="auto"/>
      <w:outlineLvl w:val="4"/>
    </w:pPr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947C50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947C50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947C50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47C50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C50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47C50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7C50"/>
    <w:rPr>
      <w:rFonts w:ascii="Arial" w:eastAsia="Times New Roman" w:hAnsi="Arial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47C50"/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47C50"/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47C50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947C5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C50"/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C50"/>
    <w:rPr>
      <w:rFonts w:ascii="Arial" w:eastAsia="Times New Roman" w:hAnsi="Arial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47C50"/>
    <w:pPr>
      <w:numPr>
        <w:numId w:val="12"/>
      </w:numPr>
      <w:outlineLvl w:val="0"/>
    </w:pPr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47C50"/>
    <w:pPr>
      <w:numPr>
        <w:ilvl w:val="1"/>
        <w:numId w:val="12"/>
      </w:numPr>
      <w:spacing w:line="360" w:lineRule="auto"/>
      <w:outlineLvl w:val="1"/>
    </w:pPr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47C50"/>
    <w:pPr>
      <w:numPr>
        <w:ilvl w:val="2"/>
        <w:numId w:val="12"/>
      </w:numPr>
      <w:spacing w:line="360" w:lineRule="auto"/>
      <w:outlineLvl w:val="2"/>
    </w:pPr>
    <w:rPr>
      <w:rFonts w:ascii="Arial" w:eastAsia="Times New Roman" w:hAnsi="Arial" w:cs="Times New Roman"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947C50"/>
    <w:pPr>
      <w:keepNext/>
      <w:keepLines/>
      <w:numPr>
        <w:ilvl w:val="3"/>
        <w:numId w:val="12"/>
      </w:numPr>
      <w:spacing w:before="200" w:line="360" w:lineRule="auto"/>
      <w:outlineLvl w:val="3"/>
    </w:pPr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947C50"/>
    <w:pPr>
      <w:keepNext/>
      <w:keepLines/>
      <w:numPr>
        <w:ilvl w:val="4"/>
        <w:numId w:val="12"/>
      </w:numPr>
      <w:spacing w:before="200" w:line="360" w:lineRule="auto"/>
      <w:outlineLvl w:val="4"/>
    </w:pPr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paragraph" w:styleId="Heading6">
    <w:name w:val="heading 6"/>
    <w:basedOn w:val="Normal"/>
    <w:next w:val="Normal"/>
    <w:link w:val="Heading6Char"/>
    <w:unhideWhenUsed/>
    <w:qFormat/>
    <w:rsid w:val="00947C50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947C50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947C50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947C50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C50"/>
    <w:rPr>
      <w:rFonts w:ascii="Arial" w:eastAsia="Times New Roman" w:hAnsi="Arial" w:cs="Arial"/>
      <w:b/>
      <w:bCs/>
      <w:color w:val="1F497D" w:themeColor="text2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47C50"/>
    <w:rPr>
      <w:rFonts w:ascii="Arial" w:eastAsia="Times New Roman" w:hAnsi="Arial" w:cs="Times New Roman"/>
      <w:b/>
      <w:bCs/>
      <w:iCs/>
      <w:color w:val="EEECE1" w:themeColor="background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47C50"/>
    <w:rPr>
      <w:rFonts w:ascii="Arial" w:eastAsia="Times New Roman" w:hAnsi="Arial" w:cs="Times New Roman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947C50"/>
    <w:rPr>
      <w:rFonts w:ascii="Arial" w:eastAsiaTheme="majorEastAsia" w:hAnsi="Arial" w:cstheme="majorBidi"/>
      <w:iCs/>
      <w:color w:val="000000" w:themeColor="text1"/>
      <w:sz w:val="24"/>
      <w:szCs w:val="26"/>
      <w:lang w:eastAsia="en-GB"/>
    </w:rPr>
  </w:style>
  <w:style w:type="character" w:customStyle="1" w:styleId="Heading5Char">
    <w:name w:val="Heading 5 Char"/>
    <w:basedOn w:val="DefaultParagraphFont"/>
    <w:link w:val="Heading5"/>
    <w:rsid w:val="00947C50"/>
    <w:rPr>
      <w:rFonts w:ascii="Arial" w:eastAsiaTheme="majorEastAsia" w:hAnsi="Arial" w:cs="Arial"/>
      <w:bCs/>
      <w:color w:val="243F60" w:themeColor="accent1" w:themeShade="7F"/>
      <w:sz w:val="24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947C50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947C50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47C50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947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7C50"/>
    <w:rPr>
      <w:rFonts w:ascii="Arial" w:eastAsia="Times New Roman" w:hAnsi="Arial" w:cs="Times New Roman"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7C50"/>
    <w:rPr>
      <w:rFonts w:ascii="Arial" w:eastAsia="Times New Roman" w:hAnsi="Arial" w:cs="Times New Roman"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2017-11-10T13:40:00Z</dcterms:created>
  <dcterms:modified xsi:type="dcterms:W3CDTF">2017-11-10T13:40:00Z</dcterms:modified>
</cp:coreProperties>
</file>